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A5B16" w14:textId="6E21C998" w:rsidR="00C845DA" w:rsidRDefault="00C845DA" w:rsidP="00355352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BE7D" wp14:editId="6DEF414A">
                <wp:simplePos x="0" y="0"/>
                <wp:positionH relativeFrom="column">
                  <wp:posOffset>3108960</wp:posOffset>
                </wp:positionH>
                <wp:positionV relativeFrom="paragraph">
                  <wp:posOffset>-198120</wp:posOffset>
                </wp:positionV>
                <wp:extent cx="2865120" cy="365760"/>
                <wp:effectExtent l="0" t="0" r="11430" b="15240"/>
                <wp:wrapNone/>
                <wp:docPr id="121598353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120" cy="3657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txbx>
                        <w:txbxContent>
                          <w:p w14:paraId="0C45B9E2" w14:textId="68C6E4D3" w:rsidR="00C845DA" w:rsidRDefault="00C845DA" w:rsidP="00C845DA">
                            <w:pPr>
                              <w:jc w:val="center"/>
                            </w:pPr>
                            <w:r w:rsidRPr="00D67DB4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Traffic Light Assessment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FBE7D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4.8pt;margin-top:-15.6pt;width:225.6pt;height:28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" fillcolor="#d8d8d8 [2732]" strokecolor="#d8d8d8 [2732]" strokeweight=".5pt">
                <v:textbox>
                  <w:txbxContent>
                    <w:p w14:paraId="0C45B9E2" w14:textId="68C6E4D3" w:rsidR="00C845DA" w:rsidRDefault="00C845DA" w:rsidP="00C845DA">
                      <w:pPr>
                        <w:jc w:val="center"/>
                      </w:pPr>
                      <w:r w:rsidRPr="00D67DB4">
                        <w:rPr>
                          <w:b/>
                          <w:bCs/>
                          <w:sz w:val="28"/>
                          <w:szCs w:val="28"/>
                        </w:rPr>
                        <w:t>Traffic Light Assessment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Tool</w:t>
                      </w:r>
                    </w:p>
                  </w:txbxContent>
                </v:textbox>
              </v:shape>
            </w:pict>
          </mc:Fallback>
        </mc:AlternateContent>
      </w:r>
    </w:p>
    <w:p w14:paraId="30FB3B46" w14:textId="1F7D3571" w:rsidR="00355352" w:rsidRDefault="00C845DA" w:rsidP="0035535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12E1FD" wp14:editId="3A28AEA5">
                <wp:simplePos x="0" y="0"/>
                <wp:positionH relativeFrom="margin">
                  <wp:align>right</wp:align>
                </wp:positionH>
                <wp:positionV relativeFrom="paragraph">
                  <wp:posOffset>220980</wp:posOffset>
                </wp:positionV>
                <wp:extent cx="8846820" cy="929640"/>
                <wp:effectExtent l="0" t="0" r="11430" b="22860"/>
                <wp:wrapNone/>
                <wp:docPr id="13418784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46820" cy="9296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2D295003" w14:textId="7A87FA3A" w:rsidR="00C845DA" w:rsidRDefault="00C845DA">
                            <w:r w:rsidRPr="0041654E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  <w:t>Definition</w:t>
                            </w:r>
                            <w:r w:rsidRPr="0041654E">
                              <w:rPr>
                                <w:rFonts w:eastAsia="Times New Roman" w:cstheme="minorHAnsi"/>
                                <w:sz w:val="28"/>
                                <w:szCs w:val="28"/>
                                <w:lang w:eastAsia="en-IE"/>
                              </w:rPr>
                              <w:t>:</w:t>
                            </w:r>
                            <w:r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A902E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 xml:space="preserve">This assessment tool is designed to help Preparing for Life Home Visitors gauge the level of engagement and risk within the families they work with. </w:t>
                            </w:r>
                            <w:r w:rsidRPr="00C845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A902E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The results are expressed using a traffic light system with three colo</w:t>
                            </w:r>
                            <w:r w:rsidRPr="00C845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u</w:t>
                            </w:r>
                            <w:r w:rsidRPr="00A902E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rs: Red, Amber, and Green.</w:t>
                            </w:r>
                            <w:r w:rsidRPr="00C845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 xml:space="preserve">  </w:t>
                            </w:r>
                            <w:r w:rsidRPr="00A902E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It is important to note that families may shift between these colo</w:t>
                            </w:r>
                            <w:r w:rsidRPr="00C845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u</w:t>
                            </w:r>
                            <w:r w:rsidRPr="00A902E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rs based on their changing circumstances.</w:t>
                            </w:r>
                            <w:r w:rsidRPr="00C845DA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 xml:space="preserve"> </w:t>
                            </w:r>
                            <w:r w:rsidRPr="00A902EB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 xml:space="preserve"> Any movement on the rating system should be discussed during Supervision sessions</w:t>
                            </w:r>
                            <w:r w:rsidR="009F4CC9">
                              <w:rPr>
                                <w:rFonts w:eastAsia="Times New Roman" w:cstheme="minorHAnsi"/>
                                <w:sz w:val="24"/>
                                <w:szCs w:val="24"/>
                                <w:lang w:eastAsia="en-I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2E1FD" id="Text Box 2" o:spid="_x0000_s1027" type="#_x0000_t202" style="position:absolute;margin-left:645.4pt;margin-top:17.4pt;width:696.6pt;height:73.2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" fillcolor="#fbe4d5 [661]" strokecolor="#fff2cc [663]" strokeweight=".5pt">
                <v:textbox>
                  <w:txbxContent>
                    <w:p w14:paraId="2D295003" w14:textId="7A87FA3A" w:rsidR="00C845DA" w:rsidRDefault="00C845DA">
                      <w:r w:rsidRPr="0041654E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</w:rPr>
                        <w:t>Definition</w:t>
                      </w:r>
                      <w:r w:rsidRPr="0041654E">
                        <w:rPr>
                          <w:rFonts w:eastAsia="Times New Roman" w:cstheme="minorHAnsi"/>
                          <w:sz w:val="28"/>
                          <w:szCs w:val="28"/>
                          <w:lang w:eastAsia="en-IE"/>
                        </w:rPr>
                        <w:t>:</w:t>
                      </w:r>
                      <w:r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A902EB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 xml:space="preserve">This assessment tool is designed to help Preparing for Life Home Visitors gauge the level of engagement and risk within the families they work with. </w:t>
                      </w:r>
                      <w:r w:rsidRPr="00C845DA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A902EB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The results are expressed using a traffic light system with three colo</w:t>
                      </w:r>
                      <w:r w:rsidRPr="00C845DA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u</w:t>
                      </w:r>
                      <w:r w:rsidRPr="00A902EB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rs: Red, Amber, and Green.</w:t>
                      </w:r>
                      <w:r w:rsidRPr="00C845DA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 xml:space="preserve">  </w:t>
                      </w:r>
                      <w:r w:rsidRPr="00A902EB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It is important to note that families may shift between these colo</w:t>
                      </w:r>
                      <w:r w:rsidRPr="00C845DA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u</w:t>
                      </w:r>
                      <w:r w:rsidRPr="00A902EB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rs based on their changing circumstances.</w:t>
                      </w:r>
                      <w:r w:rsidRPr="00C845DA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 xml:space="preserve"> </w:t>
                      </w:r>
                      <w:r w:rsidRPr="00A902EB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 xml:space="preserve"> Any movement on the rating system should be discussed during Supervision sessions</w:t>
                      </w:r>
                      <w:r w:rsidR="009F4CC9">
                        <w:rPr>
                          <w:rFonts w:eastAsia="Times New Roman" w:cstheme="minorHAnsi"/>
                          <w:sz w:val="24"/>
                          <w:szCs w:val="24"/>
                          <w:lang w:eastAsia="en-IE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B42215" w14:textId="77777777" w:rsidR="00C845DA" w:rsidRDefault="00C845DA" w:rsidP="00355352"/>
    <w:p w14:paraId="1E51794A" w14:textId="77777777" w:rsidR="00C845DA" w:rsidRDefault="00C845DA" w:rsidP="00355352"/>
    <w:p w14:paraId="6BE9450E" w14:textId="77777777" w:rsidR="00C845DA" w:rsidRDefault="00C845DA" w:rsidP="00355352"/>
    <w:p w14:paraId="19C9D190" w14:textId="059FA7B7" w:rsidR="00C845DA" w:rsidRDefault="00C845DA" w:rsidP="00355352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0803C" wp14:editId="6D519044">
                <wp:simplePos x="0" y="0"/>
                <wp:positionH relativeFrom="column">
                  <wp:posOffset>38100</wp:posOffset>
                </wp:positionH>
                <wp:positionV relativeFrom="paragraph">
                  <wp:posOffset>267335</wp:posOffset>
                </wp:positionV>
                <wp:extent cx="2506980" cy="304800"/>
                <wp:effectExtent l="0" t="0" r="26670" b="19050"/>
                <wp:wrapNone/>
                <wp:docPr id="36787297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698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5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775F922E" w14:textId="50E5E752" w:rsidR="00C845DA" w:rsidRPr="0041654E" w:rsidRDefault="00C845D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41654E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IE"/>
                              </w:rPr>
                              <w:t>Guiding Principles</w:t>
                            </w:r>
                            <w:r w:rsidRPr="0041654E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I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0803C" id="Text Box 3" o:spid="_x0000_s1028" type="#_x0000_t202" style="position:absolute;margin-left:3pt;margin-top:21.05pt;width:197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" fillcolor="#deeaf6 [664]" strokecolor="#deeaf6 [664]" strokeweight=".5pt">
                <v:textbox>
                  <w:txbxContent>
                    <w:p w14:paraId="775F922E" w14:textId="50E5E752" w:rsidR="00C845DA" w:rsidRPr="0041654E" w:rsidRDefault="00C845DA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41654E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IE"/>
                        </w:rPr>
                        <w:t>Guiding Principles</w:t>
                      </w:r>
                      <w:r w:rsidRPr="0041654E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IE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3B11B343" w14:textId="723F68AD" w:rsidR="00C845DA" w:rsidRDefault="00C845DA" w:rsidP="00355352"/>
    <w:p w14:paraId="5803ECFA" w14:textId="5AA4CAD9" w:rsidR="00C845DA" w:rsidRDefault="00C845DA" w:rsidP="00355352"/>
    <w:p w14:paraId="5B7DEAB0" w14:textId="6A861131" w:rsidR="00834036" w:rsidRPr="009F4CC9" w:rsidRDefault="00DF1051" w:rsidP="00DF1051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Strengths-Based Approach: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 T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his tool is aligned with the strengths-based philosophy of the Preparing for Life program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me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. It should never be used to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categorise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or label a family based on their needs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13FA10FF" w14:textId="5F485EAC" w:rsidR="00DF1051" w:rsidRPr="009F4CC9" w:rsidRDefault="00DF1051" w:rsidP="00DF1051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Unchanged Interaction: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Regardless of where a family falls on the rating system, the interaction between the Home Visitor and the family remains consistent,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emphasising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support and respect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5D0C014A" w14:textId="14E78FD3" w:rsidR="00DF1051" w:rsidRPr="009F4CC9" w:rsidRDefault="00DF1051" w:rsidP="00DF1051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Case Complexity Assessment: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Home Visitors use this tool to assess the complexity of their cases and determine the necessary support for the family.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This assessment is discussed in Supervision sessions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77F5FA35" w14:textId="49DA5285" w:rsidR="00DF1051" w:rsidRPr="009F4CC9" w:rsidRDefault="00DF1051" w:rsidP="00DF1051">
      <w:pPr>
        <w:pStyle w:val="ListParagraph"/>
        <w:numPr>
          <w:ilvl w:val="0"/>
          <w:numId w:val="8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Caseload Allocation: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This tool assists Home Visitor Coordinators in allocating cases, ensuring a balanced caseload for each Home Visitor</w:t>
      </w:r>
      <w:r w:rsidR="00C845DA"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58E622C5" w14:textId="3DC9E56D" w:rsidR="00C845DA" w:rsidRDefault="00C845DA" w:rsidP="00C845DA">
      <w:pPr>
        <w:pStyle w:val="ListParagraph"/>
        <w:rPr>
          <w:rFonts w:eastAsia="Times New Roman" w:cstheme="minorHAnsi"/>
          <w:sz w:val="24"/>
          <w:szCs w:val="24"/>
          <w:lang w:eastAsia="en-IE"/>
        </w:rPr>
      </w:pPr>
    </w:p>
    <w:p w14:paraId="545A487B" w14:textId="0573660F" w:rsidR="00C845DA" w:rsidRDefault="00C845DA" w:rsidP="00C845DA">
      <w:pPr>
        <w:pStyle w:val="ListParagraph"/>
        <w:rPr>
          <w:rFonts w:eastAsia="Times New Roman" w:cstheme="minorHAnsi"/>
          <w:sz w:val="24"/>
          <w:szCs w:val="24"/>
          <w:lang w:eastAsia="en-IE"/>
        </w:rPr>
      </w:pPr>
      <w:r>
        <w:rPr>
          <w:rFonts w:eastAsia="Times New Roman" w:cstheme="minorHAnsi"/>
          <w:noProof/>
          <w:sz w:val="24"/>
          <w:szCs w:val="24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5B898" wp14:editId="6967992A">
                <wp:simplePos x="0" y="0"/>
                <wp:positionH relativeFrom="column">
                  <wp:posOffset>38100</wp:posOffset>
                </wp:positionH>
                <wp:positionV relativeFrom="paragraph">
                  <wp:posOffset>7620</wp:posOffset>
                </wp:positionV>
                <wp:extent cx="5067300" cy="358140"/>
                <wp:effectExtent l="0" t="0" r="19050" b="22860"/>
                <wp:wrapNone/>
                <wp:docPr id="58085891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3581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txbx>
                        <w:txbxContent>
                          <w:p w14:paraId="367232D0" w14:textId="25448B36" w:rsidR="00C845DA" w:rsidRPr="0041654E" w:rsidRDefault="00C845DA" w:rsidP="00C845DA">
                            <w:pPr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IE"/>
                              </w:rPr>
                            </w:pPr>
                            <w:r w:rsidRPr="0041654E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IE"/>
                              </w:rPr>
                              <w:t>Usage Example: Example Scenario: Engagement and Risk Assessment</w:t>
                            </w:r>
                            <w:r w:rsidRPr="0041654E">
                              <w:rPr>
                                <w:rFonts w:eastAsia="Times New Roman" w:cstheme="minorHAnsi"/>
                                <w:b/>
                                <w:bCs/>
                                <w:sz w:val="28"/>
                                <w:szCs w:val="28"/>
                                <w:lang w:eastAsia="en-IE"/>
                              </w:rPr>
                              <w:t>:</w:t>
                            </w:r>
                          </w:p>
                          <w:p w14:paraId="73A1B80B" w14:textId="77777777" w:rsidR="00C845DA" w:rsidRDefault="00C845D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E5B898" id="Text Box 1" o:spid="_x0000_s1029" type="#_x0000_t202" style="position:absolute;left:0;text-align:left;margin-left:3pt;margin-top:.6pt;width:399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" fillcolor="#e2efd9 [665]" strokecolor="#e2efd9 [665]" strokeweight=".5pt">
                <v:textbox>
                  <w:txbxContent>
                    <w:p w14:paraId="367232D0" w14:textId="25448B36" w:rsidR="00C845DA" w:rsidRPr="0041654E" w:rsidRDefault="00C845DA" w:rsidP="00C845DA">
                      <w:pPr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IE"/>
                        </w:rPr>
                      </w:pPr>
                      <w:r w:rsidRPr="0041654E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IE"/>
                        </w:rPr>
                        <w:t>Usage Example: Example Scenario: Engagement and Risk Assessment</w:t>
                      </w:r>
                      <w:r w:rsidRPr="0041654E">
                        <w:rPr>
                          <w:rFonts w:eastAsia="Times New Roman" w:cstheme="minorHAnsi"/>
                          <w:b/>
                          <w:bCs/>
                          <w:sz w:val="28"/>
                          <w:szCs w:val="28"/>
                          <w:lang w:eastAsia="en-IE"/>
                        </w:rPr>
                        <w:t>:</w:t>
                      </w:r>
                    </w:p>
                    <w:p w14:paraId="73A1B80B" w14:textId="77777777" w:rsidR="00C845DA" w:rsidRDefault="00C845DA"/>
                  </w:txbxContent>
                </v:textbox>
              </v:shape>
            </w:pict>
          </mc:Fallback>
        </mc:AlternateContent>
      </w:r>
    </w:p>
    <w:p w14:paraId="3418F7C6" w14:textId="77777777" w:rsidR="00C845DA" w:rsidRDefault="00C845DA" w:rsidP="00C845DA">
      <w:pPr>
        <w:pStyle w:val="ListParagraph"/>
        <w:rPr>
          <w:rFonts w:eastAsia="Times New Roman" w:cstheme="minorHAnsi"/>
          <w:sz w:val="24"/>
          <w:szCs w:val="24"/>
          <w:lang w:eastAsia="en-IE"/>
        </w:rPr>
      </w:pPr>
    </w:p>
    <w:p w14:paraId="48711CFF" w14:textId="77777777" w:rsidR="00C845DA" w:rsidRPr="009F4CC9" w:rsidRDefault="00C845DA" w:rsidP="00C845DA">
      <w:pPr>
        <w:pStyle w:val="ListParagraph"/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</w:p>
    <w:p w14:paraId="3297405A" w14:textId="4138F391" w:rsidR="00C845DA" w:rsidRPr="009F4CC9" w:rsidRDefault="00C845DA" w:rsidP="00C845DA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Green: </w:t>
      </w:r>
      <w:r w:rsidR="0041654E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 parent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is highly engaged in the program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me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and responds well to sessions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20F8D6CE" w14:textId="249E4175" w:rsidR="00C845DA" w:rsidRPr="009F4CC9" w:rsidRDefault="00C845DA" w:rsidP="00C845DA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Green:</w:t>
      </w:r>
      <w:r w:rsidR="0041654E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The parent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is highly engaged in the program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me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and responds well to sessions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14CA5283" w14:textId="7B461724" w:rsidR="00C845DA" w:rsidRPr="009F4CC9" w:rsidRDefault="00C845DA" w:rsidP="00C845DA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Unexpected Disclosure: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During a session, </w:t>
      </w:r>
      <w:r w:rsidR="0041654E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 parent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unexpectedly discloses personal experiences of suicide ideation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27C682C5" w14:textId="5BC467D0" w:rsidR="00C845DA" w:rsidRPr="009F4CC9" w:rsidRDefault="00C845DA" w:rsidP="00C845DA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Home Visitor engages in open dialogue with </w:t>
      </w:r>
      <w:r w:rsidR="0041654E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 parent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to identify necessary supports based on </w:t>
      </w:r>
      <w:r w:rsidR="0041654E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thei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r wants and desires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29A6D452" w14:textId="07F9FAA9" w:rsidR="00C845DA" w:rsidRPr="009F4CC9" w:rsidRDefault="00C845DA" w:rsidP="00C845DA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lastRenderedPageBreak/>
        <w:t xml:space="preserve">Red: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="0041654E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 parent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is identified as red, and immediate supports are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implemented.</w:t>
      </w:r>
    </w:p>
    <w:p w14:paraId="198F88A7" w14:textId="055361DA" w:rsidR="00C845DA" w:rsidRPr="009F4CC9" w:rsidRDefault="00C845DA" w:rsidP="00C845DA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This case is closely monitored during this critical period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501A84A4" w14:textId="09607BE1" w:rsidR="00C845DA" w:rsidRPr="009F4CC9" w:rsidRDefault="00C845DA" w:rsidP="00C845DA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Transition to Amber: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Once </w:t>
      </w:r>
      <w:r w:rsidR="008D46FB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 parent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is engaged in support and responds well, </w:t>
      </w:r>
      <w:r w:rsidR="008D46FB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they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may transition to the amber category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18EAF816" w14:textId="15D3A063" w:rsidR="00C845DA" w:rsidRPr="009F4CC9" w:rsidRDefault="00C845DA" w:rsidP="00C845DA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Monitoring continues to ensure sustained progress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4BA31B60" w14:textId="670DDC6C" w:rsidR="00C845DA" w:rsidRPr="009F4CC9" w:rsidRDefault="00C845DA" w:rsidP="00C845DA">
      <w:pPr>
        <w:pStyle w:val="ListParagraph"/>
        <w:numPr>
          <w:ilvl w:val="0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Potential Return to Green: </w:t>
      </w:r>
      <w:r w:rsid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If the Home Visitor observes or hears from </w:t>
      </w:r>
      <w:r w:rsidR="008D46FB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 parent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that </w:t>
      </w:r>
      <w:r w:rsidR="008D46FB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he</w:t>
      </w:r>
      <w:r w:rsidR="008D46FB">
        <w:rPr>
          <w:rFonts w:eastAsia="Times New Roman" w:cstheme="minorHAnsi"/>
          <w:color w:val="000000" w:themeColor="text1"/>
          <w:sz w:val="24"/>
          <w:szCs w:val="24"/>
          <w:lang w:eastAsia="en-IE"/>
        </w:rPr>
        <w:t>i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r situation is changing positively, </w:t>
      </w:r>
      <w:r w:rsidR="008D46FB">
        <w:rPr>
          <w:rFonts w:eastAsia="Times New Roman" w:cstheme="minorHAnsi"/>
          <w:color w:val="000000" w:themeColor="text1"/>
          <w:sz w:val="24"/>
          <w:szCs w:val="24"/>
          <w:lang w:eastAsia="en-IE"/>
        </w:rPr>
        <w:t>they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may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return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to the green category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0B8FAA4E" w14:textId="4B276611" w:rsidR="00C845DA" w:rsidRPr="009F4CC9" w:rsidRDefault="00C845DA" w:rsidP="00C845DA">
      <w:pPr>
        <w:pStyle w:val="ListParagraph"/>
        <w:numPr>
          <w:ilvl w:val="1"/>
          <w:numId w:val="9"/>
        </w:num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>Decisions to move families through the system are based on ongoing information exchange between the Home Visitor and the family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2B2A3C71" w14:textId="1BEC3FF4" w:rsidR="00C845DA" w:rsidRPr="009F4CC9" w:rsidRDefault="00C845DA" w:rsidP="00C845DA">
      <w:pPr>
        <w:rPr>
          <w:rFonts w:eastAsia="Times New Roman" w:cstheme="minorHAnsi"/>
          <w:color w:val="000000" w:themeColor="text1"/>
          <w:sz w:val="24"/>
          <w:szCs w:val="24"/>
          <w:lang w:eastAsia="en-IE"/>
        </w:rPr>
      </w:pP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Remember, the primary goal of this tool is to assess the family's engagement and risk level to provide the right level of support.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It is never intended to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stigmatise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or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categorise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families, and the Home Visitor's commitment to supporting families remains constant, irrespective of their rating on the system.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Discussion and reflection during Supervision sessions are crucial for ensuring 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practical</w:t>
      </w:r>
      <w:r w:rsidRPr="000504B8">
        <w:rPr>
          <w:rFonts w:eastAsia="Times New Roman" w:cstheme="minorHAnsi"/>
          <w:color w:val="000000" w:themeColor="text1"/>
          <w:sz w:val="24"/>
          <w:szCs w:val="24"/>
          <w:lang w:eastAsia="en-IE"/>
        </w:rPr>
        <w:t xml:space="preserve"> support and service delivery</w:t>
      </w:r>
      <w:r w:rsidRPr="009F4CC9">
        <w:rPr>
          <w:rFonts w:eastAsia="Times New Roman" w:cstheme="minorHAnsi"/>
          <w:color w:val="000000" w:themeColor="text1"/>
          <w:sz w:val="24"/>
          <w:szCs w:val="24"/>
          <w:lang w:eastAsia="en-IE"/>
        </w:rPr>
        <w:t>.</w:t>
      </w:r>
    </w:p>
    <w:p w14:paraId="5DC27782" w14:textId="77777777" w:rsidR="009F4CC9" w:rsidRDefault="009F4CC9"/>
    <w:tbl>
      <w:tblPr>
        <w:tblStyle w:val="TableGrid"/>
        <w:tblW w:w="15593" w:type="dxa"/>
        <w:tblInd w:w="-856" w:type="dxa"/>
        <w:tblLook w:val="04A0" w:firstRow="1" w:lastRow="0" w:firstColumn="1" w:lastColumn="0" w:noHBand="0" w:noVBand="1"/>
      </w:tblPr>
      <w:tblGrid>
        <w:gridCol w:w="2269"/>
        <w:gridCol w:w="3402"/>
        <w:gridCol w:w="2126"/>
        <w:gridCol w:w="2693"/>
        <w:gridCol w:w="2268"/>
        <w:gridCol w:w="2835"/>
      </w:tblGrid>
      <w:tr w:rsidR="0041194F" w14:paraId="7243A049" w14:textId="4216EE8B" w:rsidTr="00BA5E76">
        <w:tc>
          <w:tcPr>
            <w:tcW w:w="2269" w:type="dxa"/>
            <w:shd w:val="clear" w:color="auto" w:fill="FF0000"/>
          </w:tcPr>
          <w:p w14:paraId="74EF3FBB" w14:textId="1113B3A1" w:rsidR="0041194F" w:rsidRPr="009F4CC9" w:rsidRDefault="0041194F" w:rsidP="00D67DB4">
            <w:pPr>
              <w:jc w:val="center"/>
              <w:rPr>
                <w:b/>
                <w:bCs/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Red</w:t>
            </w:r>
            <w:r w:rsidR="00BA5E76" w:rsidRPr="009F4CC9">
              <w:rPr>
                <w:b/>
                <w:bCs/>
                <w:sz w:val="24"/>
                <w:szCs w:val="24"/>
              </w:rPr>
              <w:t xml:space="preserve"> - Engagement</w:t>
            </w:r>
          </w:p>
        </w:tc>
        <w:tc>
          <w:tcPr>
            <w:tcW w:w="3402" w:type="dxa"/>
            <w:shd w:val="clear" w:color="auto" w:fill="FF0000"/>
          </w:tcPr>
          <w:p w14:paraId="3DF16F32" w14:textId="098507EB" w:rsidR="0041194F" w:rsidRPr="009F4CC9" w:rsidRDefault="0041194F" w:rsidP="00D67DB4">
            <w:pPr>
              <w:jc w:val="center"/>
              <w:rPr>
                <w:b/>
                <w:bCs/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Red</w:t>
            </w:r>
            <w:r w:rsidR="00BA5E76" w:rsidRPr="009F4CC9">
              <w:rPr>
                <w:b/>
                <w:bCs/>
                <w:sz w:val="24"/>
                <w:szCs w:val="24"/>
              </w:rPr>
              <w:t xml:space="preserve"> - Risk</w:t>
            </w:r>
          </w:p>
        </w:tc>
        <w:tc>
          <w:tcPr>
            <w:tcW w:w="2126" w:type="dxa"/>
            <w:shd w:val="clear" w:color="auto" w:fill="FFD966" w:themeFill="accent4" w:themeFillTint="99"/>
          </w:tcPr>
          <w:p w14:paraId="1499F2B6" w14:textId="581EC2BF" w:rsidR="0041194F" w:rsidRPr="009F4CC9" w:rsidRDefault="0041194F" w:rsidP="00D67DB4">
            <w:pPr>
              <w:jc w:val="center"/>
              <w:rPr>
                <w:b/>
                <w:bCs/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Amber</w:t>
            </w:r>
            <w:r w:rsidR="00BA5E76" w:rsidRPr="009F4CC9">
              <w:rPr>
                <w:b/>
                <w:bCs/>
                <w:sz w:val="24"/>
                <w:szCs w:val="24"/>
              </w:rPr>
              <w:t xml:space="preserve"> - Engagement</w:t>
            </w:r>
          </w:p>
        </w:tc>
        <w:tc>
          <w:tcPr>
            <w:tcW w:w="2693" w:type="dxa"/>
            <w:shd w:val="clear" w:color="auto" w:fill="FFD966" w:themeFill="accent4" w:themeFillTint="99"/>
          </w:tcPr>
          <w:p w14:paraId="495E49C3" w14:textId="468864D1" w:rsidR="0041194F" w:rsidRPr="009F4CC9" w:rsidRDefault="0041194F" w:rsidP="00D67DB4">
            <w:pPr>
              <w:jc w:val="center"/>
              <w:rPr>
                <w:b/>
                <w:bCs/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Amber</w:t>
            </w:r>
            <w:r w:rsidR="00BA5E76" w:rsidRPr="009F4CC9">
              <w:rPr>
                <w:b/>
                <w:bCs/>
                <w:sz w:val="24"/>
                <w:szCs w:val="24"/>
              </w:rPr>
              <w:t xml:space="preserve"> - Risk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14:paraId="085C8B31" w14:textId="4DC533E5" w:rsidR="0041194F" w:rsidRPr="009F4CC9" w:rsidRDefault="0041194F" w:rsidP="00D67DB4">
            <w:pPr>
              <w:jc w:val="center"/>
              <w:rPr>
                <w:b/>
                <w:bCs/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Green</w:t>
            </w:r>
            <w:r w:rsidR="00BA5E76" w:rsidRPr="009F4CC9">
              <w:rPr>
                <w:b/>
                <w:bCs/>
                <w:sz w:val="24"/>
                <w:szCs w:val="24"/>
              </w:rPr>
              <w:t>- Engagement</w:t>
            </w:r>
          </w:p>
        </w:tc>
        <w:tc>
          <w:tcPr>
            <w:tcW w:w="2835" w:type="dxa"/>
            <w:shd w:val="clear" w:color="auto" w:fill="A8D08D" w:themeFill="accent6" w:themeFillTint="99"/>
          </w:tcPr>
          <w:p w14:paraId="04CA1D4C" w14:textId="37FDEE51" w:rsidR="0041194F" w:rsidRPr="009F4CC9" w:rsidRDefault="0041194F" w:rsidP="00D67DB4">
            <w:pPr>
              <w:jc w:val="center"/>
              <w:rPr>
                <w:b/>
                <w:bCs/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Green</w:t>
            </w:r>
            <w:r w:rsidR="00BA5E76" w:rsidRPr="009F4CC9">
              <w:rPr>
                <w:b/>
                <w:bCs/>
                <w:sz w:val="24"/>
                <w:szCs w:val="24"/>
              </w:rPr>
              <w:t xml:space="preserve"> - Risk</w:t>
            </w:r>
          </w:p>
        </w:tc>
      </w:tr>
      <w:tr w:rsidR="0041194F" w14:paraId="154D6D7F" w14:textId="58D29512" w:rsidTr="00BA5E76">
        <w:trPr>
          <w:trHeight w:val="1238"/>
        </w:trPr>
        <w:tc>
          <w:tcPr>
            <w:tcW w:w="2269" w:type="dxa"/>
          </w:tcPr>
          <w:p w14:paraId="391DF5E8" w14:textId="60E6DF66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Low session engagement (family are difficult to pin down - there’s no pattern to attendance)</w:t>
            </w:r>
          </w:p>
          <w:p w14:paraId="245EC8A3" w14:textId="27F2A38F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Disengagement process is in action</w:t>
            </w:r>
          </w:p>
          <w:p w14:paraId="49F36B27" w14:textId="61FA9CEA" w:rsidR="0041194F" w:rsidRPr="009F4CC9" w:rsidRDefault="0041194F" w:rsidP="00361062">
            <w:pPr>
              <w:pStyle w:val="ListParagraph"/>
              <w:rPr>
                <w:sz w:val="24"/>
                <w:szCs w:val="24"/>
              </w:rPr>
            </w:pPr>
          </w:p>
          <w:p w14:paraId="7E33A3C2" w14:textId="1559C0E2" w:rsidR="0041194F" w:rsidRPr="009F4CC9" w:rsidRDefault="0041194F" w:rsidP="0036106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ACBCD45" w14:textId="63FED9F9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Involved in Tusla</w:t>
            </w:r>
          </w:p>
          <w:p w14:paraId="1FE2FA59" w14:textId="32749FD0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Greatly involved in advocacy, interagency, </w:t>
            </w:r>
            <w:r w:rsidR="00A902EB" w:rsidRPr="009F4CC9">
              <w:rPr>
                <w:sz w:val="24"/>
                <w:szCs w:val="24"/>
              </w:rPr>
              <w:t xml:space="preserve">and </w:t>
            </w:r>
            <w:r w:rsidR="006B733E" w:rsidRPr="009F4CC9">
              <w:rPr>
                <w:sz w:val="24"/>
                <w:szCs w:val="24"/>
              </w:rPr>
              <w:t>M</w:t>
            </w:r>
            <w:r w:rsidRPr="009F4CC9">
              <w:rPr>
                <w:sz w:val="24"/>
                <w:szCs w:val="24"/>
              </w:rPr>
              <w:t>eith</w:t>
            </w:r>
            <w:r w:rsidR="000256BF" w:rsidRPr="009F4CC9">
              <w:rPr>
                <w:sz w:val="24"/>
                <w:szCs w:val="24"/>
              </w:rPr>
              <w:t>e</w:t>
            </w:r>
            <w:r w:rsidRPr="009F4CC9">
              <w:rPr>
                <w:sz w:val="24"/>
                <w:szCs w:val="24"/>
              </w:rPr>
              <w:t>al processes.</w:t>
            </w:r>
          </w:p>
          <w:p w14:paraId="007BA588" w14:textId="77777777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Active DV, Substance misuse, mental health</w:t>
            </w:r>
          </w:p>
          <w:p w14:paraId="35FAC461" w14:textId="1C4917A6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It is known that the family are involved in criminal activity.</w:t>
            </w:r>
          </w:p>
          <w:p w14:paraId="3B1CF839" w14:textId="0F526DC7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Parent incarcerated </w:t>
            </w:r>
          </w:p>
          <w:p w14:paraId="0C54CA36" w14:textId="3F23C448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A lot of distraction throughout </w:t>
            </w:r>
            <w:r w:rsidR="00A902EB" w:rsidRPr="009F4CC9">
              <w:rPr>
                <w:sz w:val="24"/>
                <w:szCs w:val="24"/>
              </w:rPr>
              <w:t xml:space="preserve">the </w:t>
            </w:r>
            <w:r w:rsidRPr="009F4CC9">
              <w:rPr>
                <w:sz w:val="24"/>
                <w:szCs w:val="24"/>
              </w:rPr>
              <w:t>session (environmental factors/ parent struggles to concentrate.</w:t>
            </w:r>
          </w:p>
          <w:p w14:paraId="0A24E386" w14:textId="2A9930C3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Parents </w:t>
            </w:r>
            <w:r w:rsidR="00A902EB" w:rsidRPr="009F4CC9">
              <w:rPr>
                <w:sz w:val="24"/>
                <w:szCs w:val="24"/>
              </w:rPr>
              <w:t>have</w:t>
            </w:r>
            <w:r w:rsidRPr="009F4CC9">
              <w:rPr>
                <w:sz w:val="24"/>
                <w:szCs w:val="24"/>
              </w:rPr>
              <w:t xml:space="preserve"> a learning disability</w:t>
            </w:r>
          </w:p>
          <w:p w14:paraId="63B417DA" w14:textId="0DFE167F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Child living within the family home with a moderate to </w:t>
            </w:r>
            <w:r w:rsidR="00A902EB" w:rsidRPr="009F4CC9">
              <w:rPr>
                <w:sz w:val="24"/>
                <w:szCs w:val="24"/>
              </w:rPr>
              <w:t>severe</w:t>
            </w:r>
            <w:r w:rsidRPr="009F4CC9">
              <w:rPr>
                <w:sz w:val="24"/>
                <w:szCs w:val="24"/>
              </w:rPr>
              <w:t xml:space="preserve"> disability</w:t>
            </w:r>
          </w:p>
          <w:p w14:paraId="64F5BE8A" w14:textId="464D4D22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Family isolation/part of minority group/ language barriers.</w:t>
            </w:r>
          </w:p>
          <w:p w14:paraId="039F6760" w14:textId="011467F2" w:rsidR="0041194F" w:rsidRPr="009F4CC9" w:rsidRDefault="0041194F" w:rsidP="0036106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5B7565F9" w14:textId="2773DFAD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Sporadic engagement</w:t>
            </w:r>
          </w:p>
          <w:p w14:paraId="41D5E8B5" w14:textId="3358664D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Moderate engagement in sessions.</w:t>
            </w:r>
          </w:p>
          <w:p w14:paraId="770CE826" w14:textId="24188364" w:rsidR="0041194F" w:rsidRPr="009F4CC9" w:rsidRDefault="0041194F" w:rsidP="00361062">
            <w:pPr>
              <w:pStyle w:val="ListParagraph"/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 </w:t>
            </w:r>
          </w:p>
          <w:p w14:paraId="4DDCA536" w14:textId="77777777" w:rsidR="0041194F" w:rsidRPr="009F4CC9" w:rsidRDefault="0041194F" w:rsidP="00361062">
            <w:pPr>
              <w:ind w:left="360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1C15EF6C" w14:textId="78BC6679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Advocacy </w:t>
            </w:r>
          </w:p>
          <w:p w14:paraId="33DBFFD6" w14:textId="2111A521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Meitheal</w:t>
            </w:r>
          </w:p>
          <w:p w14:paraId="37351137" w14:textId="2456CECE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Interagency – supports are coming together.</w:t>
            </w:r>
          </w:p>
          <w:p w14:paraId="10CDF079" w14:textId="3D7C5652" w:rsidR="0041194F" w:rsidRPr="009F4CC9" w:rsidRDefault="00A902EB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Long-term</w:t>
            </w:r>
            <w:r w:rsidR="0041194F" w:rsidRPr="009F4CC9">
              <w:rPr>
                <w:sz w:val="24"/>
                <w:szCs w:val="24"/>
              </w:rPr>
              <w:t xml:space="preserve"> homeless accommodation</w:t>
            </w:r>
          </w:p>
          <w:p w14:paraId="0476D2CC" w14:textId="31C55B3B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Bereavement</w:t>
            </w:r>
          </w:p>
          <w:p w14:paraId="797D39D4" w14:textId="4547EC08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Physical illness</w:t>
            </w:r>
          </w:p>
          <w:p w14:paraId="7336C106" w14:textId="32922149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Unexplained concern for family.</w:t>
            </w:r>
          </w:p>
          <w:p w14:paraId="6507EB64" w14:textId="302E40EB" w:rsidR="0041194F" w:rsidRPr="009F4CC9" w:rsidRDefault="0041194F" w:rsidP="00361062">
            <w:pPr>
              <w:pStyle w:val="List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45489C2E" w14:textId="24D94016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High or predictable patterns of engagement.</w:t>
            </w:r>
          </w:p>
          <w:p w14:paraId="5C30BAE7" w14:textId="550B6E45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Most to all sessions run smoothly.</w:t>
            </w:r>
          </w:p>
          <w:p w14:paraId="07EAF7CA" w14:textId="77777777" w:rsidR="0041194F" w:rsidRPr="009F4CC9" w:rsidRDefault="0041194F" w:rsidP="00361062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051E30C4" w14:textId="77777777" w:rsidR="0041194F" w:rsidRPr="009F4CC9" w:rsidRDefault="0041194F" w:rsidP="0036106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3E13946C" w14:textId="6BAA22BE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Responds and engages well </w:t>
            </w:r>
            <w:r w:rsidR="00A902EB" w:rsidRPr="009F4CC9">
              <w:rPr>
                <w:sz w:val="24"/>
                <w:szCs w:val="24"/>
              </w:rPr>
              <w:t>with</w:t>
            </w:r>
            <w:r w:rsidRPr="009F4CC9">
              <w:rPr>
                <w:sz w:val="24"/>
                <w:szCs w:val="24"/>
              </w:rPr>
              <w:t xml:space="preserve"> </w:t>
            </w:r>
            <w:r w:rsidR="00A902EB" w:rsidRPr="009F4CC9">
              <w:rPr>
                <w:sz w:val="24"/>
                <w:szCs w:val="24"/>
              </w:rPr>
              <w:t xml:space="preserve">the </w:t>
            </w:r>
            <w:r w:rsidRPr="009F4CC9">
              <w:rPr>
                <w:sz w:val="24"/>
                <w:szCs w:val="24"/>
              </w:rPr>
              <w:t>programme.</w:t>
            </w:r>
          </w:p>
          <w:p w14:paraId="21ADB0AD" w14:textId="293301D0" w:rsidR="0041194F" w:rsidRPr="009F4CC9" w:rsidRDefault="0041194F" w:rsidP="00361062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>Can be linked to services</w:t>
            </w:r>
            <w:r w:rsidR="00A902EB" w:rsidRPr="009F4CC9">
              <w:rPr>
                <w:sz w:val="24"/>
                <w:szCs w:val="24"/>
              </w:rPr>
              <w:t>,</w:t>
            </w:r>
            <w:r w:rsidRPr="009F4CC9">
              <w:rPr>
                <w:sz w:val="24"/>
                <w:szCs w:val="24"/>
              </w:rPr>
              <w:t xml:space="preserve"> but everything is moving smoothly.</w:t>
            </w:r>
          </w:p>
        </w:tc>
      </w:tr>
      <w:tr w:rsidR="0041194F" w14:paraId="38EE0CA0" w14:textId="1F5FAE39" w:rsidTr="00BA5E76">
        <w:tc>
          <w:tcPr>
            <w:tcW w:w="2269" w:type="dxa"/>
            <w:shd w:val="clear" w:color="auto" w:fill="B4C6E7" w:themeFill="accent1" w:themeFillTint="66"/>
          </w:tcPr>
          <w:p w14:paraId="08D86296" w14:textId="02AA7BEB" w:rsidR="0041194F" w:rsidRPr="009F4CC9" w:rsidRDefault="0041194F" w:rsidP="006C1BE2">
            <w:pPr>
              <w:pStyle w:val="ListParagrap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B4C6E7" w:themeFill="accent1" w:themeFillTint="66"/>
          </w:tcPr>
          <w:p w14:paraId="6570F183" w14:textId="616099B2" w:rsidR="0041194F" w:rsidRPr="009F4CC9" w:rsidRDefault="0041194F" w:rsidP="0041194F">
            <w:pPr>
              <w:pStyle w:val="ListParagraph"/>
              <w:rPr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Benefits</w:t>
            </w:r>
          </w:p>
        </w:tc>
        <w:tc>
          <w:tcPr>
            <w:tcW w:w="2126" w:type="dxa"/>
            <w:shd w:val="clear" w:color="auto" w:fill="B4C6E7" w:themeFill="accent1" w:themeFillTint="66"/>
          </w:tcPr>
          <w:p w14:paraId="33A7D07C" w14:textId="77777777" w:rsidR="0041194F" w:rsidRPr="009F4CC9" w:rsidRDefault="0041194F" w:rsidP="0041194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B4C6E7" w:themeFill="accent1" w:themeFillTint="66"/>
          </w:tcPr>
          <w:p w14:paraId="19D23FF4" w14:textId="51F52BC4" w:rsidR="0041194F" w:rsidRPr="009F4CC9" w:rsidRDefault="0041194F" w:rsidP="0041194F">
            <w:pPr>
              <w:jc w:val="center"/>
              <w:rPr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Benefits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14:paraId="55FD01DB" w14:textId="77777777" w:rsidR="0041194F" w:rsidRPr="009F4CC9" w:rsidRDefault="0041194F" w:rsidP="0041194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B4C6E7" w:themeFill="accent1" w:themeFillTint="66"/>
          </w:tcPr>
          <w:p w14:paraId="34AB7E39" w14:textId="459CD079" w:rsidR="0041194F" w:rsidRPr="009F4CC9" w:rsidRDefault="0041194F" w:rsidP="0041194F">
            <w:pPr>
              <w:jc w:val="center"/>
              <w:rPr>
                <w:sz w:val="24"/>
                <w:szCs w:val="24"/>
              </w:rPr>
            </w:pPr>
            <w:r w:rsidRPr="009F4CC9">
              <w:rPr>
                <w:b/>
                <w:bCs/>
                <w:sz w:val="24"/>
                <w:szCs w:val="24"/>
              </w:rPr>
              <w:t>Benefits</w:t>
            </w:r>
          </w:p>
        </w:tc>
      </w:tr>
      <w:tr w:rsidR="0041194F" w14:paraId="3CC4E11B" w14:textId="32162F6B" w:rsidTr="00BA5E76">
        <w:trPr>
          <w:trHeight w:val="1273"/>
        </w:trPr>
        <w:tc>
          <w:tcPr>
            <w:tcW w:w="2269" w:type="dxa"/>
          </w:tcPr>
          <w:p w14:paraId="02CEC546" w14:textId="77777777" w:rsidR="0041194F" w:rsidRPr="009F4CC9" w:rsidRDefault="0041194F" w:rsidP="005120E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46B8B1E" w14:textId="57F2917C" w:rsidR="0041194F" w:rsidRPr="009F4CC9" w:rsidRDefault="0041194F" w:rsidP="005120E2">
            <w:p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Depending on what percentage of </w:t>
            </w:r>
            <w:r w:rsidR="00D67DB4" w:rsidRPr="009F4CC9">
              <w:rPr>
                <w:sz w:val="24"/>
                <w:szCs w:val="24"/>
              </w:rPr>
              <w:t>families have been rated as</w:t>
            </w:r>
            <w:r w:rsidR="00D67DB4" w:rsidRPr="009F4CC9">
              <w:rPr>
                <w:b/>
                <w:bCs/>
                <w:sz w:val="24"/>
                <w:szCs w:val="24"/>
              </w:rPr>
              <w:t xml:space="preserve"> </w:t>
            </w:r>
            <w:r w:rsidR="00D67DB4" w:rsidRPr="009F4CC9">
              <w:rPr>
                <w:b/>
                <w:bCs/>
                <w:color w:val="FF0000"/>
                <w:sz w:val="24"/>
                <w:szCs w:val="24"/>
              </w:rPr>
              <w:t>RED</w:t>
            </w:r>
            <w:r w:rsidR="00D67DB4" w:rsidRPr="009F4CC9">
              <w:rPr>
                <w:b/>
                <w:bCs/>
                <w:sz w:val="24"/>
                <w:szCs w:val="24"/>
              </w:rPr>
              <w:t xml:space="preserve"> </w:t>
            </w:r>
            <w:r w:rsidR="00D67DB4" w:rsidRPr="009F4CC9">
              <w:rPr>
                <w:sz w:val="24"/>
                <w:szCs w:val="24"/>
              </w:rPr>
              <w:t>will determine how many more families they will be assigned.</w:t>
            </w:r>
          </w:p>
        </w:tc>
        <w:tc>
          <w:tcPr>
            <w:tcW w:w="2126" w:type="dxa"/>
          </w:tcPr>
          <w:p w14:paraId="3F7487D9" w14:textId="77777777" w:rsidR="0041194F" w:rsidRPr="009F4CC9" w:rsidRDefault="0041194F" w:rsidP="005120E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14:paraId="5045C64A" w14:textId="49CF6622" w:rsidR="0041194F" w:rsidRPr="009F4CC9" w:rsidRDefault="00D67DB4" w:rsidP="005120E2">
            <w:p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Depending on what percentage of families have been rated as </w:t>
            </w:r>
            <w:r w:rsidRPr="009F4CC9">
              <w:rPr>
                <w:b/>
                <w:bCs/>
                <w:color w:val="FFC000" w:themeColor="accent4"/>
                <w:sz w:val="24"/>
                <w:szCs w:val="24"/>
              </w:rPr>
              <w:t>AMBER</w:t>
            </w:r>
            <w:r w:rsidRPr="009F4CC9">
              <w:rPr>
                <w:color w:val="FFC000" w:themeColor="accent4"/>
                <w:sz w:val="24"/>
                <w:szCs w:val="24"/>
              </w:rPr>
              <w:t xml:space="preserve"> </w:t>
            </w:r>
            <w:r w:rsidRPr="009F4CC9">
              <w:rPr>
                <w:sz w:val="24"/>
                <w:szCs w:val="24"/>
              </w:rPr>
              <w:t>will determine how many more families they will be assigned.</w:t>
            </w:r>
          </w:p>
        </w:tc>
        <w:tc>
          <w:tcPr>
            <w:tcW w:w="2268" w:type="dxa"/>
          </w:tcPr>
          <w:p w14:paraId="511E6434" w14:textId="77777777" w:rsidR="0041194F" w:rsidRPr="009F4CC9" w:rsidRDefault="0041194F" w:rsidP="005120E2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1825E621" w14:textId="20EDFF4A" w:rsidR="0041194F" w:rsidRPr="009F4CC9" w:rsidRDefault="0041194F" w:rsidP="005120E2">
            <w:pPr>
              <w:rPr>
                <w:sz w:val="24"/>
                <w:szCs w:val="24"/>
              </w:rPr>
            </w:pPr>
            <w:r w:rsidRPr="009F4CC9">
              <w:rPr>
                <w:sz w:val="24"/>
                <w:szCs w:val="24"/>
              </w:rPr>
              <w:t xml:space="preserve">Home </w:t>
            </w:r>
            <w:r w:rsidR="00A902EB" w:rsidRPr="009F4CC9">
              <w:rPr>
                <w:sz w:val="24"/>
                <w:szCs w:val="24"/>
              </w:rPr>
              <w:t>Visitors</w:t>
            </w:r>
            <w:r w:rsidRPr="009F4CC9">
              <w:rPr>
                <w:sz w:val="24"/>
                <w:szCs w:val="24"/>
              </w:rPr>
              <w:t xml:space="preserve"> would be able to take on more families. </w:t>
            </w:r>
          </w:p>
        </w:tc>
      </w:tr>
    </w:tbl>
    <w:p w14:paraId="2E376EC7" w14:textId="77777777" w:rsidR="002E1273" w:rsidRDefault="002E1273"/>
    <w:sectPr w:rsidR="002E1273" w:rsidSect="002E1273">
      <w:foot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B315" w14:textId="77777777" w:rsidR="001F35B8" w:rsidRDefault="001F35B8" w:rsidP="00D67DB4">
      <w:pPr>
        <w:spacing w:after="0" w:line="240" w:lineRule="auto"/>
      </w:pPr>
      <w:r>
        <w:separator/>
      </w:r>
    </w:p>
  </w:endnote>
  <w:endnote w:type="continuationSeparator" w:id="0">
    <w:p w14:paraId="68838867" w14:textId="77777777" w:rsidR="001F35B8" w:rsidRDefault="001F35B8" w:rsidP="00D67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78FEF" w14:textId="01F96B0D" w:rsidR="00D67DB4" w:rsidRDefault="00D67DB4" w:rsidP="00D67DB4">
    <w:pPr>
      <w:pStyle w:val="Footer"/>
      <w:jc w:val="center"/>
    </w:pPr>
    <w:r>
      <w:rPr>
        <w:noProof/>
        <w:color w:val="1F497D"/>
        <w:lang w:eastAsia="en-IE"/>
      </w:rPr>
      <w:drawing>
        <wp:inline distT="0" distB="0" distL="0" distR="0" wp14:anchorId="7C1C5A02" wp14:editId="080BC672">
          <wp:extent cx="1562100" cy="665113"/>
          <wp:effectExtent l="0" t="0" r="0" b="190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855" cy="669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D1DA4" w14:textId="77777777" w:rsidR="001F35B8" w:rsidRDefault="001F35B8" w:rsidP="00D67DB4">
      <w:pPr>
        <w:spacing w:after="0" w:line="240" w:lineRule="auto"/>
      </w:pPr>
      <w:r>
        <w:separator/>
      </w:r>
    </w:p>
  </w:footnote>
  <w:footnote w:type="continuationSeparator" w:id="0">
    <w:p w14:paraId="6E26EAAA" w14:textId="77777777" w:rsidR="001F35B8" w:rsidRDefault="001F35B8" w:rsidP="00D67D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D24"/>
    <w:multiLevelType w:val="multilevel"/>
    <w:tmpl w:val="3698F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C46C0"/>
    <w:multiLevelType w:val="hybridMultilevel"/>
    <w:tmpl w:val="063A3512"/>
    <w:lvl w:ilvl="0" w:tplc="1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189E0A9B"/>
    <w:multiLevelType w:val="hybridMultilevel"/>
    <w:tmpl w:val="2CFC08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844FA"/>
    <w:multiLevelType w:val="hybridMultilevel"/>
    <w:tmpl w:val="FAC866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66287E"/>
    <w:multiLevelType w:val="hybridMultilevel"/>
    <w:tmpl w:val="6B4A4D6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47728"/>
    <w:multiLevelType w:val="hybridMultilevel"/>
    <w:tmpl w:val="1D96739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163AF"/>
    <w:multiLevelType w:val="hybridMultilevel"/>
    <w:tmpl w:val="BA3C00F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E0908"/>
    <w:multiLevelType w:val="multilevel"/>
    <w:tmpl w:val="44D4D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802880"/>
    <w:multiLevelType w:val="hybridMultilevel"/>
    <w:tmpl w:val="CEE498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291430">
    <w:abstractNumId w:val="4"/>
  </w:num>
  <w:num w:numId="2" w16cid:durableId="1945845194">
    <w:abstractNumId w:val="3"/>
  </w:num>
  <w:num w:numId="3" w16cid:durableId="2072847890">
    <w:abstractNumId w:val="1"/>
  </w:num>
  <w:num w:numId="4" w16cid:durableId="985429907">
    <w:abstractNumId w:val="8"/>
  </w:num>
  <w:num w:numId="5" w16cid:durableId="1210217910">
    <w:abstractNumId w:val="2"/>
  </w:num>
  <w:num w:numId="6" w16cid:durableId="901448655">
    <w:abstractNumId w:val="0"/>
  </w:num>
  <w:num w:numId="7" w16cid:durableId="188184390">
    <w:abstractNumId w:val="7"/>
  </w:num>
  <w:num w:numId="8" w16cid:durableId="1627084607">
    <w:abstractNumId w:val="6"/>
  </w:num>
  <w:num w:numId="9" w16cid:durableId="79849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73"/>
    <w:rsid w:val="000256BF"/>
    <w:rsid w:val="00190E16"/>
    <w:rsid w:val="001F35B8"/>
    <w:rsid w:val="002E1273"/>
    <w:rsid w:val="00355352"/>
    <w:rsid w:val="00361062"/>
    <w:rsid w:val="003E7924"/>
    <w:rsid w:val="0040664D"/>
    <w:rsid w:val="0041194F"/>
    <w:rsid w:val="0041654E"/>
    <w:rsid w:val="0048068F"/>
    <w:rsid w:val="005120E2"/>
    <w:rsid w:val="005307FA"/>
    <w:rsid w:val="005A24C2"/>
    <w:rsid w:val="005E1CAB"/>
    <w:rsid w:val="00673916"/>
    <w:rsid w:val="006B733E"/>
    <w:rsid w:val="006C1BE2"/>
    <w:rsid w:val="006F4145"/>
    <w:rsid w:val="00701B57"/>
    <w:rsid w:val="007A422E"/>
    <w:rsid w:val="00834036"/>
    <w:rsid w:val="008D46FB"/>
    <w:rsid w:val="009543CC"/>
    <w:rsid w:val="009B4E6C"/>
    <w:rsid w:val="009F4CC9"/>
    <w:rsid w:val="00A902EB"/>
    <w:rsid w:val="00BA5E76"/>
    <w:rsid w:val="00BD4132"/>
    <w:rsid w:val="00C845DA"/>
    <w:rsid w:val="00D67DB4"/>
    <w:rsid w:val="00DF1051"/>
    <w:rsid w:val="00E177E3"/>
    <w:rsid w:val="00E32E20"/>
    <w:rsid w:val="00E9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BB193B"/>
  <w15:chartTrackingRefBased/>
  <w15:docId w15:val="{04D45223-ED00-4D6E-AB61-DC6426CD7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1B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DB4"/>
  </w:style>
  <w:style w:type="paragraph" w:styleId="Footer">
    <w:name w:val="footer"/>
    <w:basedOn w:val="Normal"/>
    <w:link w:val="FooterChar"/>
    <w:uiPriority w:val="99"/>
    <w:unhideWhenUsed/>
    <w:rsid w:val="00D67D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DB4"/>
  </w:style>
  <w:style w:type="paragraph" w:styleId="NormalWeb">
    <w:name w:val="Normal (Web)"/>
    <w:basedOn w:val="Normal"/>
    <w:uiPriority w:val="99"/>
    <w:semiHidden/>
    <w:unhideWhenUsed/>
    <w:rsid w:val="00A902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4D41F.69554E6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9113742343940BCA7C35BFFA46950" ma:contentTypeVersion="18" ma:contentTypeDescription="Create a new document." ma:contentTypeScope="" ma:versionID="58ecb86273676d7e3a1af86fe66cf2a6">
  <xsd:schema xmlns:xsd="http://www.w3.org/2001/XMLSchema" xmlns:xs="http://www.w3.org/2001/XMLSchema" xmlns:p="http://schemas.microsoft.com/office/2006/metadata/properties" xmlns:ns2="5ac1a721-6ae6-474d-9e67-9564fffa620a" xmlns:ns3="c26f5dd4-aff4-444a-b385-cbc94bfdef22" targetNamespace="http://schemas.microsoft.com/office/2006/metadata/properties" ma:root="true" ma:fieldsID="f17cabd587fffb22997997ee21e96a07" ns2:_="" ns3:_="">
    <xsd:import namespace="5ac1a721-6ae6-474d-9e67-9564fffa620a"/>
    <xsd:import namespace="c26f5dd4-aff4-444a-b385-cbc94bfde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1a721-6ae6-474d-9e67-9564fffa6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3803e90-fa4d-48c2-86aa-64ebefa02e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f5dd4-aff4-444a-b385-cbc94bfde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7d1a8a-8c89-42cc-9d0e-847fa4169278}" ma:internalName="TaxCatchAll" ma:showField="CatchAllData" ma:web="c26f5dd4-aff4-444a-b385-cbc94bfde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6f5dd4-aff4-444a-b385-cbc94bfdef22" xsi:nil="true"/>
    <lcf76f155ced4ddcb4097134ff3c332f xmlns="5ac1a721-6ae6-474d-9e67-9564fffa62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24800A-A1B0-493C-832A-04A9F8CD4AC9}"/>
</file>

<file path=customXml/itemProps2.xml><?xml version="1.0" encoding="utf-8"?>
<ds:datastoreItem xmlns:ds="http://schemas.openxmlformats.org/officeDocument/2006/customXml" ds:itemID="{D2E9804C-2EBA-4F44-9154-0D51C0EDD289}"/>
</file>

<file path=customXml/itemProps3.xml><?xml version="1.0" encoding="utf-8"?>
<ds:datastoreItem xmlns:ds="http://schemas.openxmlformats.org/officeDocument/2006/customXml" ds:itemID="{01BCAECE-18EE-44FC-BF48-9C1F06C9E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546</Words>
  <Characters>3100</Characters>
  <Application>Microsoft Office Word</Application>
  <DocSecurity>0</DocSecurity>
  <Lines>137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Cullen</dc:creator>
  <cp:keywords/>
  <dc:description/>
  <cp:lastModifiedBy>Sue Cullen</cp:lastModifiedBy>
  <cp:revision>5</cp:revision>
  <dcterms:created xsi:type="dcterms:W3CDTF">2023-10-11T15:46:00Z</dcterms:created>
  <dcterms:modified xsi:type="dcterms:W3CDTF">2023-10-11T15:49:00Z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9fa3629910502bcd8d55dc939f00ae95a619c9bfd1a1a50df3acbbe8bce91d0e</vt:lpwstr>
  </property>
  <property fmtid="{D5CDD505-2E9C-101B-9397-08002B2CF9AE}" pid="3" name="ContentTypeId">
    <vt:lpwstr>0x010100E069113742343940BCA7C35BFFA46950</vt:lpwstr>
  </property>
</Properties>
</file>