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C259" w14:textId="32C07887" w:rsidR="00A53575" w:rsidRPr="00A53575" w:rsidRDefault="00A53575" w:rsidP="00A53575">
      <w:pPr>
        <w:rPr>
          <w:rFonts w:asciiTheme="majorHAnsi" w:hAnsiTheme="majorHAnsi"/>
          <w:b/>
          <w:bCs/>
          <w:sz w:val="32"/>
          <w:szCs w:val="32"/>
        </w:rPr>
      </w:pPr>
      <w:r w:rsidRPr="00A53575">
        <w:rPr>
          <w:rFonts w:asciiTheme="majorHAnsi" w:hAnsiTheme="majorHAnsi"/>
          <w:b/>
          <w:bCs/>
          <w:sz w:val="32"/>
          <w:szCs w:val="32"/>
        </w:rPr>
        <w:t>Briefing Document:</w:t>
      </w:r>
    </w:p>
    <w:p w14:paraId="73426DE1" w14:textId="6EB36F4D" w:rsidR="00A53575" w:rsidRPr="00A53575" w:rsidRDefault="00A53575" w:rsidP="00A53575">
      <w:r w:rsidRPr="00A53575">
        <w:rPr>
          <w:b/>
          <w:bCs/>
        </w:rPr>
        <w:t>Forthcoming Release: Preparing for Life Age 14 Evaluation</w:t>
      </w:r>
      <w:r w:rsidRPr="00A53575">
        <w:br/>
      </w:r>
      <w:r w:rsidRPr="00A53575">
        <w:rPr>
          <w:b/>
          <w:bCs/>
        </w:rPr>
        <w:t xml:space="preserve">University of Chicago – </w:t>
      </w:r>
      <w:proofErr w:type="spellStart"/>
      <w:r w:rsidRPr="00A53575">
        <w:rPr>
          <w:b/>
          <w:bCs/>
        </w:rPr>
        <w:t>Center</w:t>
      </w:r>
      <w:proofErr w:type="spellEnd"/>
      <w:r w:rsidRPr="00A53575">
        <w:rPr>
          <w:b/>
          <w:bCs/>
        </w:rPr>
        <w:t xml:space="preserve"> for the Economics of Human Development (CEHD)</w:t>
      </w:r>
    </w:p>
    <w:p w14:paraId="567E501E" w14:textId="77777777" w:rsidR="00A53575" w:rsidRPr="00A53575" w:rsidRDefault="00A53575" w:rsidP="00A53575">
      <w:r w:rsidRPr="00A53575">
        <w:rPr>
          <w:b/>
          <w:bCs/>
        </w:rPr>
        <w:t>April 2025</w:t>
      </w:r>
    </w:p>
    <w:p w14:paraId="46D460A5" w14:textId="77777777" w:rsidR="00A53575" w:rsidRPr="00A53575" w:rsidRDefault="00A53575" w:rsidP="00A53575">
      <w:r w:rsidRPr="00A53575">
        <w:t xml:space="preserve">The University of Chicago’s </w:t>
      </w:r>
      <w:proofErr w:type="spellStart"/>
      <w:r w:rsidRPr="00A53575">
        <w:t>Center</w:t>
      </w:r>
      <w:proofErr w:type="spellEnd"/>
      <w:r w:rsidRPr="00A53575">
        <w:t xml:space="preserve"> for the Economics of Human Development (CEHD) is supporting the launch of a landmark evaluation of the </w:t>
      </w:r>
      <w:r w:rsidRPr="00A53575">
        <w:rPr>
          <w:b/>
          <w:bCs/>
        </w:rPr>
        <w:t>Preparing for Life (PFL)</w:t>
      </w:r>
      <w:r w:rsidRPr="00A53575">
        <w:t xml:space="preserve"> program — one of the few experimental early childhood interventions to follow participants into adolescence. This rigorous, randomized controlled trial evaluates the sustained effects of a prenatal-to-school-entry home visiting program in a disadvantaged community in Dublin, Ireland. The Age 14 follow-up offers unique evidence on the long-term benefits of early intervention.</w:t>
      </w:r>
    </w:p>
    <w:p w14:paraId="5C8C7A4C" w14:textId="77777777" w:rsidR="00A53575" w:rsidRPr="00A53575" w:rsidRDefault="00A53575" w:rsidP="00A53575">
      <w:r w:rsidRPr="00A53575">
        <w:rPr>
          <w:b/>
          <w:bCs/>
        </w:rPr>
        <w:t>About Preparing for Life (PFL)</w:t>
      </w:r>
    </w:p>
    <w:p w14:paraId="143CA614" w14:textId="77777777" w:rsidR="00A53575" w:rsidRPr="00A53575" w:rsidRDefault="00A53575" w:rsidP="00A53575">
      <w:r w:rsidRPr="00A53575">
        <w:t xml:space="preserve">PFL provided bi-weekly home visits from pregnancy to age 5, delivering parenting supports, developmental tip sheets, and early learning materials. Additional components included baby massage classes and the Triple P Positive Parenting Program. The program targeted </w:t>
      </w:r>
      <w:proofErr w:type="spellStart"/>
      <w:r w:rsidRPr="00A53575">
        <w:t>behavioral</w:t>
      </w:r>
      <w:proofErr w:type="spellEnd"/>
      <w:r w:rsidRPr="00A53575">
        <w:t xml:space="preserve"> and informational frictions to promote parenting knowledge and skill development in low-income households.</w:t>
      </w:r>
    </w:p>
    <w:p w14:paraId="75BC1964" w14:textId="77777777" w:rsidR="00A53575" w:rsidRPr="00A53575" w:rsidRDefault="00A53575" w:rsidP="00A53575">
      <w:r w:rsidRPr="00A53575">
        <w:rPr>
          <w:b/>
          <w:bCs/>
        </w:rPr>
        <w:t>Why This Study Matters</w:t>
      </w:r>
    </w:p>
    <w:p w14:paraId="4C270026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Rare Long-Term Evidence</w:t>
      </w:r>
      <w:r w:rsidRPr="00A53575">
        <w:t xml:space="preserve">: Most home visiting programs have limited long-term data. PFL is one of the </w:t>
      </w:r>
      <w:r w:rsidRPr="00A53575">
        <w:rPr>
          <w:i/>
          <w:iCs/>
        </w:rPr>
        <w:t>only randomized studies globally</w:t>
      </w:r>
      <w:r w:rsidRPr="00A53575">
        <w:t xml:space="preserve"> to track children into mid-adolescence with rigorous assessment.</w:t>
      </w:r>
    </w:p>
    <w:p w14:paraId="0F3D7E29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Enduring Cognitive Gains</w:t>
      </w:r>
      <w:r w:rsidRPr="00A53575">
        <w:t xml:space="preserve">: At Age 14, the program demonstrates </w:t>
      </w:r>
      <w:r w:rsidRPr="00A53575">
        <w:rPr>
          <w:i/>
          <w:iCs/>
        </w:rPr>
        <w:t>sustained cognitive improvements</w:t>
      </w:r>
      <w:r w:rsidRPr="00A53575">
        <w:t xml:space="preserve">—children in the treatment group scored </w:t>
      </w:r>
      <w:r w:rsidRPr="00A53575">
        <w:rPr>
          <w:b/>
          <w:bCs/>
        </w:rPr>
        <w:t>0.70 standard deviations higher</w:t>
      </w:r>
      <w:r w:rsidRPr="00A53575">
        <w:t xml:space="preserve"> on general cognitive ability tests compared to controls, with strong results across verbal, non-verbal, and spatial domains.</w:t>
      </w:r>
    </w:p>
    <w:p w14:paraId="451DA1E4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Executive Function</w:t>
      </w:r>
      <w:r w:rsidRPr="00A53575">
        <w:t>: PFL children also showed higher working memory scores (</w:t>
      </w:r>
      <w:r w:rsidRPr="00A53575">
        <w:rPr>
          <w:b/>
          <w:bCs/>
        </w:rPr>
        <w:t>0.52 SD</w:t>
      </w:r>
      <w:r w:rsidRPr="00A53575">
        <w:t>), a critical foundation for learning and decision-making.</w:t>
      </w:r>
    </w:p>
    <w:p w14:paraId="1CD88E1C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Better Educational Expectations</w:t>
      </w:r>
      <w:r w:rsidRPr="00A53575">
        <w:t xml:space="preserve">: Participants reported </w:t>
      </w:r>
      <w:r w:rsidRPr="00A53575">
        <w:rPr>
          <w:i/>
          <w:iCs/>
        </w:rPr>
        <w:t>greater academic confidence and aspirations</w:t>
      </w:r>
      <w:r w:rsidRPr="00A53575">
        <w:t>, reflecting stronger human capital formation.</w:t>
      </w:r>
    </w:p>
    <w:p w14:paraId="3AD07953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Modest Physical Health Effects</w:t>
      </w:r>
      <w:r w:rsidRPr="00A53575">
        <w:t>: Treatment children had lower waist-to-height ratios—a predictor of better cardiometabolic outcomes.</w:t>
      </w:r>
    </w:p>
    <w:p w14:paraId="6ACB44FC" w14:textId="77777777" w:rsidR="00A53575" w:rsidRPr="00A53575" w:rsidRDefault="00A53575" w:rsidP="00A53575">
      <w:pPr>
        <w:numPr>
          <w:ilvl w:val="0"/>
          <w:numId w:val="1"/>
        </w:numPr>
      </w:pPr>
      <w:r w:rsidRPr="00A53575">
        <w:rPr>
          <w:b/>
          <w:bCs/>
        </w:rPr>
        <w:t>Minimal Socio-Emotional Gains</w:t>
      </w:r>
      <w:r w:rsidRPr="00A53575">
        <w:t xml:space="preserve">: While most socio-emotional indicators did not differ between groups, treatment youth reported </w:t>
      </w:r>
      <w:r w:rsidRPr="00A53575">
        <w:rPr>
          <w:i/>
          <w:iCs/>
        </w:rPr>
        <w:t>fewer attention problems</w:t>
      </w:r>
      <w:r w:rsidRPr="00A53575">
        <w:t>.</w:t>
      </w:r>
    </w:p>
    <w:p w14:paraId="13225D9A" w14:textId="77777777" w:rsidR="00A53575" w:rsidRPr="00A53575" w:rsidRDefault="00A53575" w:rsidP="00A53575">
      <w:r w:rsidRPr="00A53575">
        <w:rPr>
          <w:b/>
          <w:bCs/>
        </w:rPr>
        <w:t>Key Statistics</w:t>
      </w:r>
    </w:p>
    <w:p w14:paraId="286D9FB5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Sample Size at Age 14</w:t>
      </w:r>
      <w:r w:rsidRPr="00A53575">
        <w:t>: 99 adolescents (43% of original cohort)</w:t>
      </w:r>
    </w:p>
    <w:p w14:paraId="1094B687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Gender Balance</w:t>
      </w:r>
      <w:r w:rsidRPr="00A53575">
        <w:t>: No significant differences across groups</w:t>
      </w:r>
    </w:p>
    <w:p w14:paraId="342B0F5E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Effect on Cognitive Scores (General Conceptual Ability)</w:t>
      </w:r>
      <w:r w:rsidRPr="00A53575">
        <w:t>: +0.70 SD</w:t>
      </w:r>
    </w:p>
    <w:p w14:paraId="72F95712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Working Memory</w:t>
      </w:r>
      <w:r w:rsidRPr="00A53575">
        <w:t>: +0.52 SD</w:t>
      </w:r>
    </w:p>
    <w:p w14:paraId="628E4A25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lastRenderedPageBreak/>
        <w:t>Above Norm Cognitive Scores (Spatial)</w:t>
      </w:r>
      <w:r w:rsidRPr="00A53575">
        <w:t>: 17% of treatment group vs. 4% of control</w:t>
      </w:r>
    </w:p>
    <w:p w14:paraId="07BF49FB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Waist-to-Height Ratio Risk (&gt;0.5)</w:t>
      </w:r>
      <w:r w:rsidRPr="00A53575">
        <w:t>: 38% (treatment) vs. 44% (control)</w:t>
      </w:r>
    </w:p>
    <w:p w14:paraId="5085E22C" w14:textId="77777777" w:rsidR="00A53575" w:rsidRPr="00A53575" w:rsidRDefault="00A53575" w:rsidP="00A53575">
      <w:pPr>
        <w:numPr>
          <w:ilvl w:val="0"/>
          <w:numId w:val="2"/>
        </w:numPr>
      </w:pPr>
      <w:r w:rsidRPr="00A53575">
        <w:rPr>
          <w:b/>
          <w:bCs/>
        </w:rPr>
        <w:t>Attention Problems</w:t>
      </w:r>
      <w:r w:rsidRPr="00A53575">
        <w:t>: 41% (treatment) vs. 63% (control)</w:t>
      </w:r>
    </w:p>
    <w:p w14:paraId="3B429078" w14:textId="77777777" w:rsidR="00A53575" w:rsidRPr="00A53575" w:rsidRDefault="00A53575" w:rsidP="00A53575">
      <w:r w:rsidRPr="00A53575">
        <w:rPr>
          <w:b/>
          <w:bCs/>
        </w:rPr>
        <w:t>Research Lead</w:t>
      </w:r>
    </w:p>
    <w:p w14:paraId="03AD274F" w14:textId="5E270866" w:rsidR="00A53575" w:rsidRPr="00A53575" w:rsidRDefault="00A53575" w:rsidP="00A53575">
      <w:r w:rsidRPr="00A53575">
        <w:t xml:space="preserve">The Age 14 Follow-up is led by </w:t>
      </w:r>
      <w:r>
        <w:rPr>
          <w:b/>
          <w:bCs/>
        </w:rPr>
        <w:t>Professor</w:t>
      </w:r>
      <w:r w:rsidRPr="00A53575">
        <w:rPr>
          <w:b/>
          <w:bCs/>
        </w:rPr>
        <w:t xml:space="preserve"> Orla Doyle</w:t>
      </w:r>
      <w:r w:rsidRPr="00A53575">
        <w:t xml:space="preserve">, </w:t>
      </w:r>
      <w:r>
        <w:t xml:space="preserve">The Geary Institute, </w:t>
      </w:r>
      <w:r w:rsidRPr="00A53575">
        <w:t>University College Dublin, in collaboration with CEHD’s interdisciplinary research network on skill formation and early investment.</w:t>
      </w:r>
    </w:p>
    <w:p w14:paraId="24C9C1C4" w14:textId="77777777" w:rsidR="00A53575" w:rsidRPr="00A53575" w:rsidRDefault="00A53575" w:rsidP="00A53575">
      <w:r w:rsidRPr="00A53575">
        <w:pict w14:anchorId="50CD6903">
          <v:rect id="_x0000_i1031" style="width:468pt;height:1.2pt" o:hralign="center" o:hrstd="t" o:hr="t" fillcolor="#a0a0a0" stroked="f"/>
        </w:pict>
      </w:r>
    </w:p>
    <w:p w14:paraId="6EBE7A18" w14:textId="77777777" w:rsidR="006809F3" w:rsidRDefault="006809F3"/>
    <w:sectPr w:rsidR="006809F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A8F2" w14:textId="77777777" w:rsidR="00A53575" w:rsidRDefault="00A53575" w:rsidP="00A53575">
      <w:pPr>
        <w:spacing w:after="0" w:line="240" w:lineRule="auto"/>
      </w:pPr>
      <w:r>
        <w:separator/>
      </w:r>
    </w:p>
  </w:endnote>
  <w:endnote w:type="continuationSeparator" w:id="0">
    <w:p w14:paraId="07F7659C" w14:textId="77777777" w:rsidR="00A53575" w:rsidRDefault="00A53575" w:rsidP="00A5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81D7" w14:textId="77777777" w:rsidR="00A53575" w:rsidRDefault="00A53575" w:rsidP="00A53575">
      <w:pPr>
        <w:spacing w:after="0" w:line="240" w:lineRule="auto"/>
      </w:pPr>
      <w:r>
        <w:separator/>
      </w:r>
    </w:p>
  </w:footnote>
  <w:footnote w:type="continuationSeparator" w:id="0">
    <w:p w14:paraId="33BE0CF7" w14:textId="77777777" w:rsidR="00A53575" w:rsidRDefault="00A53575" w:rsidP="00A5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AB63" w14:textId="7D20B24C" w:rsidR="00A53575" w:rsidRDefault="00A53575">
    <w:pPr>
      <w:pStyle w:val="Header"/>
    </w:pPr>
    <w:r>
      <w:rPr>
        <w:noProof/>
      </w:rPr>
      <w:drawing>
        <wp:inline distT="0" distB="0" distL="0" distR="0" wp14:anchorId="11D61E9F" wp14:editId="65DE675D">
          <wp:extent cx="1379220" cy="578921"/>
          <wp:effectExtent l="0" t="0" r="0" b="0"/>
          <wp:docPr id="901808671" name="Picture 2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08671" name="Picture 2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5" cy="586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6A650CC3" wp14:editId="0B616731">
          <wp:extent cx="2186940" cy="444850"/>
          <wp:effectExtent l="0" t="0" r="3810" b="0"/>
          <wp:docPr id="134672423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24238" name="Graphic 134672423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164" cy="466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70CD8"/>
    <w:multiLevelType w:val="multilevel"/>
    <w:tmpl w:val="DC9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456138"/>
    <w:multiLevelType w:val="multilevel"/>
    <w:tmpl w:val="DC1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03143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7716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75"/>
    <w:rsid w:val="006809F3"/>
    <w:rsid w:val="00923172"/>
    <w:rsid w:val="00A53575"/>
    <w:rsid w:val="00C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F210A"/>
  <w15:chartTrackingRefBased/>
  <w15:docId w15:val="{C7058C2D-C4CE-4A79-AF9D-91D0346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5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5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75"/>
  </w:style>
  <w:style w:type="paragraph" w:styleId="Footer">
    <w:name w:val="footer"/>
    <w:basedOn w:val="Normal"/>
    <w:link w:val="FooterChar"/>
    <w:uiPriority w:val="99"/>
    <w:unhideWhenUsed/>
    <w:rsid w:val="00A53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Sarah Clohessy</cp:lastModifiedBy>
  <cp:revision>1</cp:revision>
  <dcterms:created xsi:type="dcterms:W3CDTF">2025-04-09T15:52:00Z</dcterms:created>
  <dcterms:modified xsi:type="dcterms:W3CDTF">2025-04-09T15:57:00Z</dcterms:modified>
</cp:coreProperties>
</file>